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B4D3" w14:textId="77777777" w:rsidR="00CA5951" w:rsidRDefault="00CA5951" w:rsidP="001D433E">
      <w:pPr>
        <w:jc w:val="center"/>
        <w:rPr>
          <w:rFonts w:ascii="Calibri" w:hAnsi="Calibri" w:cs="Calibri"/>
          <w:b/>
          <w:bCs/>
        </w:rPr>
      </w:pPr>
    </w:p>
    <w:p w14:paraId="62FBE2E9" w14:textId="453C89AE" w:rsidR="001D433E" w:rsidRPr="0063160A" w:rsidRDefault="001D433E" w:rsidP="001D433E">
      <w:pPr>
        <w:jc w:val="center"/>
        <w:rPr>
          <w:rFonts w:ascii="Calibri" w:hAnsi="Calibri" w:cs="Calibri"/>
          <w:b/>
          <w:bCs/>
        </w:rPr>
      </w:pPr>
      <w:r w:rsidRPr="0063160A">
        <w:rPr>
          <w:rFonts w:ascii="Calibri" w:hAnsi="Calibri" w:cs="Calibri"/>
          <w:b/>
          <w:bCs/>
        </w:rPr>
        <w:t>Investing in Faculty Diversity at Rutgers</w:t>
      </w:r>
    </w:p>
    <w:p w14:paraId="4EEB9AEB" w14:textId="3E03240C" w:rsidR="001D433E" w:rsidRPr="0063160A" w:rsidRDefault="001D433E" w:rsidP="0063160A">
      <w:pPr>
        <w:tabs>
          <w:tab w:val="left" w:pos="3008"/>
        </w:tabs>
        <w:rPr>
          <w:rFonts w:ascii="Calibri" w:hAnsi="Calibri" w:cs="Calibri"/>
          <w:b/>
          <w:bCs/>
        </w:rPr>
      </w:pPr>
    </w:p>
    <w:p w14:paraId="63ABF2D0" w14:textId="77777777" w:rsidR="003A7CA2" w:rsidRPr="00D922D9" w:rsidRDefault="003A7CA2" w:rsidP="003A7CA2">
      <w:pPr>
        <w:spacing w:after="100" w:afterAutospacing="1"/>
        <w:jc w:val="center"/>
        <w:rPr>
          <w:rFonts w:ascii="Calibri" w:eastAsia="Times New Roman" w:hAnsi="Calibri" w:cs="Calibri"/>
          <w:b/>
          <w:bCs/>
          <w:color w:val="000000" w:themeColor="text1"/>
        </w:rPr>
      </w:pPr>
      <w:r w:rsidRPr="00D922D9">
        <w:rPr>
          <w:rFonts w:ascii="Calibri" w:hAnsi="Calibri" w:cs="Calibri"/>
          <w:b/>
          <w:bCs/>
          <w:color w:val="000000" w:themeColor="text1"/>
        </w:rPr>
        <w:t>Accelerated Recruitment of Individual Faculty</w:t>
      </w:r>
    </w:p>
    <w:p w14:paraId="568F111E" w14:textId="77777777" w:rsidR="003A7CA2" w:rsidRPr="00D922D9" w:rsidRDefault="003A7CA2" w:rsidP="003A7CA2">
      <w:pPr>
        <w:spacing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 xml:space="preserve">Hiring that furthers the university’s goals of diversity, equity, and inclusive excellence will be supported with 50% salary or the equivalent amount over three years, to be used for salary and benefits support, discretionary funds for the faculty as a top off to the start-up, or funds to provide protected time for scholarly activities. Note in addition that: </w:t>
      </w:r>
    </w:p>
    <w:p w14:paraId="499099E5" w14:textId="77777777" w:rsidR="003A7CA2" w:rsidRPr="00D922D9" w:rsidRDefault="003A7CA2" w:rsidP="003A7CA2">
      <w:pPr>
        <w:pStyle w:val="ListParagraph"/>
        <w:numPr>
          <w:ilvl w:val="0"/>
          <w:numId w:val="4"/>
        </w:numPr>
        <w:rPr>
          <w:rFonts w:ascii="Calibri" w:eastAsia="Times New Roman" w:hAnsi="Calibri" w:cs="Calibri"/>
          <w:color w:val="000000" w:themeColor="text1"/>
        </w:rPr>
      </w:pPr>
      <w:r w:rsidRPr="00D922D9">
        <w:rPr>
          <w:rFonts w:ascii="Calibri" w:hAnsi="Calibri" w:cs="Calibri"/>
          <w:color w:val="000000" w:themeColor="text1"/>
        </w:rPr>
        <w:t xml:space="preserve">Faculty may be supported either through the Accelerated Recruitment program or the Strategic Cluster Hiring program, but not both. </w:t>
      </w:r>
      <w:r w:rsidRPr="00D922D9">
        <w:rPr>
          <w:rFonts w:ascii="Calibri" w:hAnsi="Calibri" w:cs="Calibri"/>
          <w:color w:val="000000" w:themeColor="text1"/>
        </w:rPr>
        <w:br/>
      </w:r>
    </w:p>
    <w:p w14:paraId="4B6CB28B" w14:textId="77D6D085" w:rsidR="003A7CA2" w:rsidRPr="005C7E24" w:rsidRDefault="005C7E24" w:rsidP="005C7E24">
      <w:pPr>
        <w:pStyle w:val="NormalWeb"/>
        <w:numPr>
          <w:ilvl w:val="0"/>
          <w:numId w:val="4"/>
        </w:numPr>
        <w:spacing w:before="0" w:beforeAutospacing="0"/>
        <w:rPr>
          <w:rFonts w:ascii="Source Sans Pro" w:hAnsi="Source Sans Pro"/>
          <w:color w:val="000000"/>
        </w:rPr>
      </w:pPr>
      <w:r>
        <w:rPr>
          <w:rFonts w:ascii="Source Sans Pro" w:hAnsi="Source Sans Pro"/>
          <w:color w:val="000000"/>
        </w:rPr>
        <w:t xml:space="preserve">Funding support is allocated according to fiscal year, beginning in the year following hire. </w:t>
      </w:r>
      <w:proofErr w:type="gramStart"/>
      <w:r>
        <w:rPr>
          <w:rFonts w:ascii="Source Sans Pro" w:hAnsi="Source Sans Pro"/>
          <w:color w:val="000000"/>
        </w:rPr>
        <w:t>I.e.</w:t>
      </w:r>
      <w:proofErr w:type="gramEnd"/>
      <w:r>
        <w:rPr>
          <w:rFonts w:ascii="Source Sans Pro" w:hAnsi="Source Sans Pro"/>
          <w:color w:val="000000"/>
        </w:rPr>
        <w:t xml:space="preserve"> hires made in AY22-23 (FY23) will be supported with program funds as of July 1, 2023 (FY24) and forward for three years total. Appointments that begin mid-year (</w:t>
      </w:r>
      <w:proofErr w:type="gramStart"/>
      <w:r>
        <w:rPr>
          <w:rFonts w:ascii="Source Sans Pro" w:hAnsi="Source Sans Pro"/>
          <w:color w:val="000000"/>
        </w:rPr>
        <w:t>i.e.</w:t>
      </w:r>
      <w:proofErr w:type="gramEnd"/>
      <w:r>
        <w:rPr>
          <w:rFonts w:ascii="Source Sans Pro" w:hAnsi="Source Sans Pro"/>
          <w:color w:val="000000"/>
        </w:rPr>
        <w:t xml:space="preserve"> February 1) will only be supported with program funds as of July 1.</w:t>
      </w:r>
    </w:p>
    <w:p w14:paraId="2628C6B2" w14:textId="204C4DA4" w:rsidR="003A7CA2" w:rsidRPr="003A7CA2" w:rsidRDefault="003A7CA2" w:rsidP="003A7CA2">
      <w:pPr>
        <w:rPr>
          <w:rFonts w:ascii="Calibri" w:eastAsia="Times New Roman" w:hAnsi="Calibri" w:cs="Calibri"/>
          <w:color w:val="000000" w:themeColor="text1"/>
        </w:rPr>
      </w:pPr>
      <w:r w:rsidRPr="00D922D9">
        <w:rPr>
          <w:rFonts w:ascii="Calibri" w:eastAsia="Times New Roman" w:hAnsi="Calibri" w:cs="Calibri"/>
          <w:b/>
          <w:bCs/>
          <w:color w:val="000000" w:themeColor="text1"/>
        </w:rPr>
        <w:t>Deadlines</w:t>
      </w:r>
      <w:r w:rsidRPr="00D922D9">
        <w:rPr>
          <w:rFonts w:ascii="Calibri" w:eastAsia="Times New Roman" w:hAnsi="Calibri" w:cs="Calibri"/>
          <w:color w:val="000000" w:themeColor="text1"/>
        </w:rPr>
        <w:t xml:space="preserve">: Campus Provosts and/or Chancellor's Office will approve all requests for funds on a rolling basis and may set local deadlines and process requirements. </w:t>
      </w:r>
      <w:r>
        <w:rPr>
          <w:rFonts w:ascii="Calibri" w:eastAsia="Times New Roman" w:hAnsi="Calibri" w:cs="Calibri"/>
          <w:color w:val="000000" w:themeColor="text1"/>
        </w:rPr>
        <w:br/>
      </w:r>
    </w:p>
    <w:p w14:paraId="3C72C6D6" w14:textId="3055A01F" w:rsidR="003A7CA2" w:rsidRPr="00D922D9" w:rsidRDefault="003A7CA2" w:rsidP="003A7CA2">
      <w:pPr>
        <w:spacing w:after="100" w:afterAutospacing="1"/>
        <w:rPr>
          <w:rFonts w:ascii="Calibri" w:eastAsia="Times New Roman" w:hAnsi="Calibri" w:cs="Calibri"/>
          <w:color w:val="000000" w:themeColor="text1"/>
        </w:rPr>
      </w:pPr>
      <w:r w:rsidRPr="00D922D9">
        <w:rPr>
          <w:rFonts w:ascii="Calibri" w:eastAsia="Times New Roman" w:hAnsi="Calibri" w:cs="Calibri"/>
          <w:b/>
          <w:bCs/>
          <w:color w:val="000000" w:themeColor="text1"/>
        </w:rPr>
        <w:t>Materials</w:t>
      </w:r>
      <w:r w:rsidRPr="00D922D9">
        <w:rPr>
          <w:rFonts w:ascii="Calibri" w:eastAsia="Times New Roman" w:hAnsi="Calibri" w:cs="Calibri"/>
          <w:color w:val="000000" w:themeColor="text1"/>
        </w:rPr>
        <w:t xml:space="preserve">: Deans requesting </w:t>
      </w:r>
      <w:r w:rsidR="00384780">
        <w:rPr>
          <w:rFonts w:ascii="Calibri" w:hAnsi="Calibri" w:cs="Calibri"/>
          <w:color w:val="000000" w:themeColor="text1"/>
        </w:rPr>
        <w:t xml:space="preserve">salary support </w:t>
      </w:r>
      <w:r w:rsidRPr="00D922D9">
        <w:rPr>
          <w:rFonts w:ascii="Calibri" w:hAnsi="Calibri" w:cs="Calibri"/>
          <w:color w:val="000000" w:themeColor="text1"/>
        </w:rPr>
        <w:t>from the program should consult with their campus Provost and/or Chancellor's Office in advance of making an offer. Provosts and/or Chancellor's Offices will stipulate required supporting materials for funding requests. At a minimum, these materials should include:</w:t>
      </w:r>
    </w:p>
    <w:p w14:paraId="1A42D743" w14:textId="77777777" w:rsidR="003A7CA2" w:rsidRPr="00D922D9" w:rsidRDefault="003A7CA2" w:rsidP="003A7CA2">
      <w:pPr>
        <w:numPr>
          <w:ilvl w:val="0"/>
          <w:numId w:val="5"/>
        </w:numPr>
        <w:spacing w:before="100" w:beforeAutospacing="1"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Name and CV of candidate</w:t>
      </w:r>
    </w:p>
    <w:p w14:paraId="1148DED0" w14:textId="77777777" w:rsidR="003A7CA2" w:rsidRPr="00D922D9" w:rsidRDefault="003A7CA2" w:rsidP="003A7CA2">
      <w:pPr>
        <w:numPr>
          <w:ilvl w:val="0"/>
          <w:numId w:val="5"/>
        </w:numPr>
        <w:spacing w:before="100" w:beforeAutospacing="1"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Hiring department and school</w:t>
      </w:r>
    </w:p>
    <w:p w14:paraId="33989141" w14:textId="77777777" w:rsidR="003A7CA2" w:rsidRPr="00D922D9" w:rsidRDefault="003A7CA2" w:rsidP="003A7CA2">
      <w:pPr>
        <w:numPr>
          <w:ilvl w:val="0"/>
          <w:numId w:val="5"/>
        </w:numPr>
        <w:spacing w:before="100" w:beforeAutospacing="1"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Brief description of the process that has brought the candidate forward, with relevant position description</w:t>
      </w:r>
    </w:p>
    <w:p w14:paraId="7F092D39" w14:textId="77777777" w:rsidR="003A7CA2" w:rsidRPr="00D922D9" w:rsidRDefault="003A7CA2" w:rsidP="003A7CA2">
      <w:pPr>
        <w:numPr>
          <w:ilvl w:val="0"/>
          <w:numId w:val="5"/>
        </w:numPr>
        <w:spacing w:before="100" w:beforeAutospacing="1"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Brief description of the candidate’s field of expertise, accomplishments, and how their research, teaching, and/or professional service in the past, present, and/or future could contribute to advancing the university’s goals of diversity, equity, and inclusion.</w:t>
      </w:r>
    </w:p>
    <w:p w14:paraId="53090526" w14:textId="1CFEC24D" w:rsidR="00A22136" w:rsidRPr="003A7CA2" w:rsidRDefault="003A7CA2" w:rsidP="003A7CA2">
      <w:pPr>
        <w:spacing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In cases where a hiring request arises through an accelerated or time-sensitive recruitment, deans should notify their provost as soon as possible and follow the appropriate procedures in ROCS. At the end of the annual hiring cycle, provosts will be asked to submit a report outlining how the funds were deployed, with an explanation of how all new hires will be supported by existing campus and university-wide mentoring and advancement programs.</w:t>
      </w:r>
    </w:p>
    <w:sectPr w:rsidR="00A22136" w:rsidRPr="003A7CA2" w:rsidSect="00D66754">
      <w:headerReference w:type="even" r:id="rId7"/>
      <w:headerReference w:type="default" r:id="rId8"/>
      <w:footerReference w:type="even" r:id="rId9"/>
      <w:footerReference w:type="default" r:id="rId10"/>
      <w:headerReference w:type="first" r:id="rId11"/>
      <w:footerReference w:type="first" r:id="rId12"/>
      <w:pgSz w:w="12240" w:h="15840"/>
      <w:pgMar w:top="20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41C5" w14:textId="77777777" w:rsidR="007A3ACE" w:rsidRDefault="007A3ACE">
      <w:r>
        <w:separator/>
      </w:r>
    </w:p>
  </w:endnote>
  <w:endnote w:type="continuationSeparator" w:id="0">
    <w:p w14:paraId="7C78981F" w14:textId="77777777" w:rsidR="007A3ACE" w:rsidRDefault="007A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487803"/>
      <w:docPartObj>
        <w:docPartGallery w:val="Page Numbers (Bottom of Page)"/>
        <w:docPartUnique/>
      </w:docPartObj>
    </w:sdtPr>
    <w:sdtContent>
      <w:p w14:paraId="7969EDA2" w14:textId="58E38674" w:rsidR="002B5B0D" w:rsidRDefault="002B5B0D" w:rsidP="00CF5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319F7" w14:textId="77777777" w:rsidR="005A337D" w:rsidRDefault="005A337D" w:rsidP="002B5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417795"/>
      <w:docPartObj>
        <w:docPartGallery w:val="Page Numbers (Bottom of Page)"/>
        <w:docPartUnique/>
      </w:docPartObj>
    </w:sdtPr>
    <w:sdtContent>
      <w:p w14:paraId="41D48803" w14:textId="3853D046" w:rsidR="002B5B0D" w:rsidRDefault="002B5B0D" w:rsidP="00CF5FC5">
        <w:pPr>
          <w:pStyle w:val="Footer"/>
          <w:framePr w:wrap="none" w:vAnchor="text" w:hAnchor="margin" w:xAlign="right" w:y="1"/>
          <w:rPr>
            <w:rStyle w:val="PageNumber"/>
          </w:rPr>
        </w:pPr>
        <w:r w:rsidRPr="002B5B0D">
          <w:rPr>
            <w:rStyle w:val="PageNumber"/>
            <w:sz w:val="20"/>
            <w:szCs w:val="20"/>
          </w:rPr>
          <w:fldChar w:fldCharType="begin"/>
        </w:r>
        <w:r w:rsidRPr="002B5B0D">
          <w:rPr>
            <w:rStyle w:val="PageNumber"/>
            <w:sz w:val="20"/>
            <w:szCs w:val="20"/>
          </w:rPr>
          <w:instrText xml:space="preserve"> PAGE </w:instrText>
        </w:r>
        <w:r w:rsidRPr="002B5B0D">
          <w:rPr>
            <w:rStyle w:val="PageNumber"/>
            <w:sz w:val="20"/>
            <w:szCs w:val="20"/>
          </w:rPr>
          <w:fldChar w:fldCharType="separate"/>
        </w:r>
        <w:r w:rsidRPr="002B5B0D">
          <w:rPr>
            <w:rStyle w:val="PageNumber"/>
            <w:noProof/>
            <w:sz w:val="20"/>
            <w:szCs w:val="20"/>
          </w:rPr>
          <w:t>1</w:t>
        </w:r>
        <w:r w:rsidRPr="002B5B0D">
          <w:rPr>
            <w:rStyle w:val="PageNumber"/>
            <w:sz w:val="20"/>
            <w:szCs w:val="20"/>
          </w:rPr>
          <w:fldChar w:fldCharType="end"/>
        </w:r>
      </w:p>
    </w:sdtContent>
  </w:sdt>
  <w:p w14:paraId="614669D8" w14:textId="7B81602D" w:rsidR="005A337D" w:rsidRPr="002B5B0D" w:rsidRDefault="00557505" w:rsidP="002B5B0D">
    <w:pPr>
      <w:pStyle w:val="Footer"/>
      <w:ind w:right="360"/>
      <w:rPr>
        <w:sz w:val="20"/>
        <w:szCs w:val="20"/>
      </w:rPr>
    </w:pPr>
    <w:r>
      <w:rPr>
        <w:sz w:val="20"/>
        <w:szCs w:val="20"/>
      </w:rPr>
      <w:t>6</w:t>
    </w:r>
    <w:r w:rsidR="002B5B0D" w:rsidRPr="002B5B0D">
      <w:rPr>
        <w:sz w:val="20"/>
        <w:szCs w:val="20"/>
      </w:rPr>
      <w:t xml:space="preserve"> </w:t>
    </w:r>
    <w:r>
      <w:rPr>
        <w:sz w:val="20"/>
        <w:szCs w:val="20"/>
      </w:rPr>
      <w:t>September</w:t>
    </w:r>
    <w:r w:rsidR="002B5B0D" w:rsidRPr="002B5B0D">
      <w:rPr>
        <w:sz w:val="20"/>
        <w:szCs w:val="20"/>
      </w:rPr>
      <w:t xml:space="preserve"> 2022</w:t>
    </w:r>
    <w:r w:rsidR="002B5B0D">
      <w:rPr>
        <w:sz w:val="20"/>
        <w:szCs w:val="20"/>
      </w:rPr>
      <w:tab/>
    </w:r>
    <w:r w:rsidR="002B5B0D">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DD76" w14:textId="77777777" w:rsidR="00557505" w:rsidRDefault="0055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FA94" w14:textId="77777777" w:rsidR="007A3ACE" w:rsidRDefault="007A3ACE">
      <w:r>
        <w:separator/>
      </w:r>
    </w:p>
  </w:footnote>
  <w:footnote w:type="continuationSeparator" w:id="0">
    <w:p w14:paraId="2BD9D694" w14:textId="77777777" w:rsidR="007A3ACE" w:rsidRDefault="007A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D18F" w14:textId="77777777" w:rsidR="00557505" w:rsidRDefault="0055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7FF2" w14:textId="298687E9" w:rsidR="006B11B0" w:rsidRDefault="001A07B7" w:rsidP="005A337D">
    <w:pPr>
      <w:pStyle w:val="Header"/>
      <w:spacing w:after="120"/>
    </w:pPr>
    <w:r w:rsidRPr="00BB1806">
      <w:rPr>
        <w:rFonts w:ascii="Palatino Linotype" w:hAnsi="Palatino Linotype"/>
        <w:b/>
        <w:bCs/>
        <w:noProof/>
        <w:color w:val="000000"/>
      </w:rPr>
      <w:drawing>
        <wp:inline distT="0" distB="0" distL="0" distR="0" wp14:anchorId="41EBA9E5" wp14:editId="08E19B46">
          <wp:extent cx="2364238" cy="6519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5517" cy="666073"/>
                  </a:xfrm>
                  <a:prstGeom prst="rect">
                    <a:avLst/>
                  </a:prstGeom>
                </pic:spPr>
              </pic:pic>
            </a:graphicData>
          </a:graphic>
        </wp:inline>
      </w:drawing>
    </w:r>
    <w:r>
      <w:t xml:space="preserve">                              </w:t>
    </w:r>
    <w:r>
      <w:rPr>
        <w:noProof/>
      </w:rPr>
      <w:drawing>
        <wp:inline distT="0" distB="0" distL="0" distR="0" wp14:anchorId="520E812E" wp14:editId="117E96C2">
          <wp:extent cx="2514600" cy="6158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3244" cy="6228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47AC" w14:textId="77777777" w:rsidR="00557505" w:rsidRDefault="0055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CD"/>
    <w:multiLevelType w:val="hybridMultilevel"/>
    <w:tmpl w:val="ABD6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1A0E"/>
    <w:multiLevelType w:val="hybridMultilevel"/>
    <w:tmpl w:val="5D5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71E"/>
    <w:multiLevelType w:val="hybridMultilevel"/>
    <w:tmpl w:val="F4D8AEBE"/>
    <w:lvl w:ilvl="0" w:tplc="3A0C51A6">
      <w:start w:val="1"/>
      <w:numFmt w:val="bullet"/>
      <w:lvlText w:val="•"/>
      <w:lvlJc w:val="left"/>
      <w:pPr>
        <w:tabs>
          <w:tab w:val="num" w:pos="720"/>
        </w:tabs>
        <w:ind w:left="720" w:hanging="360"/>
      </w:pPr>
      <w:rPr>
        <w:rFonts w:ascii="Arial" w:hAnsi="Arial" w:hint="default"/>
      </w:rPr>
    </w:lvl>
    <w:lvl w:ilvl="1" w:tplc="B6986F04" w:tentative="1">
      <w:start w:val="1"/>
      <w:numFmt w:val="bullet"/>
      <w:lvlText w:val="•"/>
      <w:lvlJc w:val="left"/>
      <w:pPr>
        <w:tabs>
          <w:tab w:val="num" w:pos="1440"/>
        </w:tabs>
        <w:ind w:left="1440" w:hanging="360"/>
      </w:pPr>
      <w:rPr>
        <w:rFonts w:ascii="Arial" w:hAnsi="Arial" w:hint="default"/>
      </w:rPr>
    </w:lvl>
    <w:lvl w:ilvl="2" w:tplc="5CC20840" w:tentative="1">
      <w:start w:val="1"/>
      <w:numFmt w:val="bullet"/>
      <w:lvlText w:val="•"/>
      <w:lvlJc w:val="left"/>
      <w:pPr>
        <w:tabs>
          <w:tab w:val="num" w:pos="2160"/>
        </w:tabs>
        <w:ind w:left="2160" w:hanging="360"/>
      </w:pPr>
      <w:rPr>
        <w:rFonts w:ascii="Arial" w:hAnsi="Arial" w:hint="default"/>
      </w:rPr>
    </w:lvl>
    <w:lvl w:ilvl="3" w:tplc="E0BADD66" w:tentative="1">
      <w:start w:val="1"/>
      <w:numFmt w:val="bullet"/>
      <w:lvlText w:val="•"/>
      <w:lvlJc w:val="left"/>
      <w:pPr>
        <w:tabs>
          <w:tab w:val="num" w:pos="2880"/>
        </w:tabs>
        <w:ind w:left="2880" w:hanging="360"/>
      </w:pPr>
      <w:rPr>
        <w:rFonts w:ascii="Arial" w:hAnsi="Arial" w:hint="default"/>
      </w:rPr>
    </w:lvl>
    <w:lvl w:ilvl="4" w:tplc="52829514" w:tentative="1">
      <w:start w:val="1"/>
      <w:numFmt w:val="bullet"/>
      <w:lvlText w:val="•"/>
      <w:lvlJc w:val="left"/>
      <w:pPr>
        <w:tabs>
          <w:tab w:val="num" w:pos="3600"/>
        </w:tabs>
        <w:ind w:left="3600" w:hanging="360"/>
      </w:pPr>
      <w:rPr>
        <w:rFonts w:ascii="Arial" w:hAnsi="Arial" w:hint="default"/>
      </w:rPr>
    </w:lvl>
    <w:lvl w:ilvl="5" w:tplc="C0724C6A" w:tentative="1">
      <w:start w:val="1"/>
      <w:numFmt w:val="bullet"/>
      <w:lvlText w:val="•"/>
      <w:lvlJc w:val="left"/>
      <w:pPr>
        <w:tabs>
          <w:tab w:val="num" w:pos="4320"/>
        </w:tabs>
        <w:ind w:left="4320" w:hanging="360"/>
      </w:pPr>
      <w:rPr>
        <w:rFonts w:ascii="Arial" w:hAnsi="Arial" w:hint="default"/>
      </w:rPr>
    </w:lvl>
    <w:lvl w:ilvl="6" w:tplc="EB56018E" w:tentative="1">
      <w:start w:val="1"/>
      <w:numFmt w:val="bullet"/>
      <w:lvlText w:val="•"/>
      <w:lvlJc w:val="left"/>
      <w:pPr>
        <w:tabs>
          <w:tab w:val="num" w:pos="5040"/>
        </w:tabs>
        <w:ind w:left="5040" w:hanging="360"/>
      </w:pPr>
      <w:rPr>
        <w:rFonts w:ascii="Arial" w:hAnsi="Arial" w:hint="default"/>
      </w:rPr>
    </w:lvl>
    <w:lvl w:ilvl="7" w:tplc="185E2FF8" w:tentative="1">
      <w:start w:val="1"/>
      <w:numFmt w:val="bullet"/>
      <w:lvlText w:val="•"/>
      <w:lvlJc w:val="left"/>
      <w:pPr>
        <w:tabs>
          <w:tab w:val="num" w:pos="5760"/>
        </w:tabs>
        <w:ind w:left="5760" w:hanging="360"/>
      </w:pPr>
      <w:rPr>
        <w:rFonts w:ascii="Arial" w:hAnsi="Arial" w:hint="default"/>
      </w:rPr>
    </w:lvl>
    <w:lvl w:ilvl="8" w:tplc="919817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163AF"/>
    <w:multiLevelType w:val="multilevel"/>
    <w:tmpl w:val="02C4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334EF"/>
    <w:multiLevelType w:val="multilevel"/>
    <w:tmpl w:val="C2EE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27E12"/>
    <w:multiLevelType w:val="hybridMultilevel"/>
    <w:tmpl w:val="8E385C0C"/>
    <w:lvl w:ilvl="0" w:tplc="C1D6CB0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37518">
    <w:abstractNumId w:val="2"/>
  </w:num>
  <w:num w:numId="2" w16cid:durableId="520634328">
    <w:abstractNumId w:val="5"/>
  </w:num>
  <w:num w:numId="3" w16cid:durableId="1814906969">
    <w:abstractNumId w:val="0"/>
  </w:num>
  <w:num w:numId="4" w16cid:durableId="1186597339">
    <w:abstractNumId w:val="1"/>
  </w:num>
  <w:num w:numId="5" w16cid:durableId="1352029415">
    <w:abstractNumId w:val="3"/>
  </w:num>
  <w:num w:numId="6" w16cid:durableId="255284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3E"/>
    <w:rsid w:val="000D4814"/>
    <w:rsid w:val="00186ACE"/>
    <w:rsid w:val="001A07B7"/>
    <w:rsid w:val="001D433E"/>
    <w:rsid w:val="001F2105"/>
    <w:rsid w:val="001F3472"/>
    <w:rsid w:val="00211AAB"/>
    <w:rsid w:val="002A3E50"/>
    <w:rsid w:val="002A72C5"/>
    <w:rsid w:val="002B5B0D"/>
    <w:rsid w:val="00301FB0"/>
    <w:rsid w:val="00384780"/>
    <w:rsid w:val="003A7CA2"/>
    <w:rsid w:val="003B61CD"/>
    <w:rsid w:val="00435B06"/>
    <w:rsid w:val="00491F0C"/>
    <w:rsid w:val="004C37A1"/>
    <w:rsid w:val="004D35B3"/>
    <w:rsid w:val="00530886"/>
    <w:rsid w:val="005411E7"/>
    <w:rsid w:val="00557505"/>
    <w:rsid w:val="0056361A"/>
    <w:rsid w:val="005A337D"/>
    <w:rsid w:val="005C7E24"/>
    <w:rsid w:val="0063160A"/>
    <w:rsid w:val="00690145"/>
    <w:rsid w:val="006F0840"/>
    <w:rsid w:val="007072AC"/>
    <w:rsid w:val="007372E5"/>
    <w:rsid w:val="00774C57"/>
    <w:rsid w:val="007A3ACE"/>
    <w:rsid w:val="007F3E28"/>
    <w:rsid w:val="00885D13"/>
    <w:rsid w:val="0089504A"/>
    <w:rsid w:val="008C219A"/>
    <w:rsid w:val="00A22136"/>
    <w:rsid w:val="00A97A89"/>
    <w:rsid w:val="00AA264E"/>
    <w:rsid w:val="00B2312F"/>
    <w:rsid w:val="00BB3ABE"/>
    <w:rsid w:val="00C52CCD"/>
    <w:rsid w:val="00C80E19"/>
    <w:rsid w:val="00C85D26"/>
    <w:rsid w:val="00C90181"/>
    <w:rsid w:val="00C91278"/>
    <w:rsid w:val="00C94879"/>
    <w:rsid w:val="00CA5951"/>
    <w:rsid w:val="00CD1B71"/>
    <w:rsid w:val="00D06C24"/>
    <w:rsid w:val="00D103A6"/>
    <w:rsid w:val="00D66754"/>
    <w:rsid w:val="00E85550"/>
    <w:rsid w:val="00EE1A65"/>
    <w:rsid w:val="00F02538"/>
    <w:rsid w:val="00F51A45"/>
    <w:rsid w:val="00F72D94"/>
    <w:rsid w:val="00F91AF6"/>
    <w:rsid w:val="00F9339F"/>
    <w:rsid w:val="00FA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7DA96"/>
  <w15:chartTrackingRefBased/>
  <w15:docId w15:val="{A5B16392-7504-594B-9B19-D4FA8380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33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D433E"/>
    <w:pPr>
      <w:tabs>
        <w:tab w:val="center" w:pos="4680"/>
        <w:tab w:val="right" w:pos="9360"/>
      </w:tabs>
    </w:pPr>
  </w:style>
  <w:style w:type="character" w:customStyle="1" w:styleId="HeaderChar">
    <w:name w:val="Header Char"/>
    <w:basedOn w:val="DefaultParagraphFont"/>
    <w:link w:val="Header"/>
    <w:rsid w:val="001D433E"/>
  </w:style>
  <w:style w:type="paragraph" w:styleId="Footer">
    <w:name w:val="footer"/>
    <w:basedOn w:val="Normal"/>
    <w:link w:val="FooterChar"/>
    <w:uiPriority w:val="99"/>
    <w:unhideWhenUsed/>
    <w:rsid w:val="001D433E"/>
    <w:pPr>
      <w:tabs>
        <w:tab w:val="center" w:pos="4680"/>
        <w:tab w:val="right" w:pos="9360"/>
      </w:tabs>
    </w:pPr>
  </w:style>
  <w:style w:type="character" w:customStyle="1" w:styleId="FooterChar">
    <w:name w:val="Footer Char"/>
    <w:basedOn w:val="DefaultParagraphFont"/>
    <w:link w:val="Footer"/>
    <w:uiPriority w:val="99"/>
    <w:rsid w:val="001D433E"/>
  </w:style>
  <w:style w:type="paragraph" w:styleId="ListParagraph">
    <w:name w:val="List Paragraph"/>
    <w:basedOn w:val="Normal"/>
    <w:uiPriority w:val="34"/>
    <w:qFormat/>
    <w:rsid w:val="001D433E"/>
    <w:pPr>
      <w:ind w:left="720"/>
      <w:contextualSpacing/>
    </w:pPr>
  </w:style>
  <w:style w:type="character" w:styleId="Hyperlink">
    <w:name w:val="Hyperlink"/>
    <w:basedOn w:val="DefaultParagraphFont"/>
    <w:uiPriority w:val="99"/>
    <w:unhideWhenUsed/>
    <w:rsid w:val="001D433E"/>
    <w:rPr>
      <w:color w:val="0563C1" w:themeColor="hyperlink"/>
      <w:u w:val="single"/>
    </w:rPr>
  </w:style>
  <w:style w:type="character" w:styleId="PageNumber">
    <w:name w:val="page number"/>
    <w:basedOn w:val="DefaultParagraphFont"/>
    <w:uiPriority w:val="99"/>
    <w:semiHidden/>
    <w:unhideWhenUsed/>
    <w:rsid w:val="002B5B0D"/>
  </w:style>
  <w:style w:type="character" w:styleId="UnresolvedMention">
    <w:name w:val="Unresolved Mention"/>
    <w:basedOn w:val="DefaultParagraphFont"/>
    <w:uiPriority w:val="99"/>
    <w:semiHidden/>
    <w:unhideWhenUsed/>
    <w:rsid w:val="00186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Turner</dc:creator>
  <cp:keywords/>
  <dc:description/>
  <cp:lastModifiedBy>Richard Rodriguez</cp:lastModifiedBy>
  <cp:revision>2</cp:revision>
  <dcterms:created xsi:type="dcterms:W3CDTF">2022-09-06T16:14:00Z</dcterms:created>
  <dcterms:modified xsi:type="dcterms:W3CDTF">2022-09-06T16:14:00Z</dcterms:modified>
</cp:coreProperties>
</file>