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4D3" w14:textId="77777777" w:rsidR="00CA5951" w:rsidRDefault="00CA5951" w:rsidP="001D433E">
      <w:pPr>
        <w:jc w:val="center"/>
        <w:rPr>
          <w:rFonts w:ascii="Calibri" w:hAnsi="Calibri" w:cs="Calibri"/>
          <w:b/>
          <w:bCs/>
        </w:rPr>
      </w:pPr>
    </w:p>
    <w:p w14:paraId="62FBE2E9" w14:textId="453C89AE" w:rsidR="001D433E" w:rsidRPr="0063160A" w:rsidRDefault="001D433E" w:rsidP="001D433E">
      <w:pPr>
        <w:jc w:val="center"/>
        <w:rPr>
          <w:rFonts w:ascii="Calibri" w:hAnsi="Calibri" w:cs="Calibri"/>
          <w:b/>
          <w:bCs/>
        </w:rPr>
      </w:pPr>
      <w:r w:rsidRPr="0063160A">
        <w:rPr>
          <w:rFonts w:ascii="Calibri" w:hAnsi="Calibri" w:cs="Calibri"/>
          <w:b/>
          <w:bCs/>
        </w:rPr>
        <w:t>Investing in Faculty Diversity at Rutgers</w:t>
      </w:r>
    </w:p>
    <w:p w14:paraId="4EEB9AEB" w14:textId="3E03240C" w:rsidR="001D433E" w:rsidRPr="0063160A" w:rsidRDefault="001D433E" w:rsidP="0063160A">
      <w:pPr>
        <w:tabs>
          <w:tab w:val="left" w:pos="3008"/>
        </w:tabs>
        <w:rPr>
          <w:rFonts w:ascii="Calibri" w:hAnsi="Calibri" w:cs="Calibri"/>
          <w:b/>
          <w:bCs/>
        </w:rPr>
      </w:pPr>
    </w:p>
    <w:p w14:paraId="63ABF2D0" w14:textId="77777777" w:rsidR="003A7CA2" w:rsidRPr="00D922D9" w:rsidRDefault="003A7CA2" w:rsidP="003A7CA2">
      <w:pPr>
        <w:spacing w:after="100" w:afterAutospacing="1"/>
        <w:jc w:val="center"/>
        <w:rPr>
          <w:rFonts w:ascii="Calibri" w:eastAsia="Times New Roman" w:hAnsi="Calibri" w:cs="Calibri"/>
          <w:b/>
          <w:bCs/>
          <w:color w:val="000000" w:themeColor="text1"/>
        </w:rPr>
      </w:pPr>
      <w:r w:rsidRPr="00D922D9">
        <w:rPr>
          <w:rFonts w:ascii="Calibri" w:hAnsi="Calibri" w:cs="Calibri"/>
          <w:b/>
          <w:bCs/>
          <w:color w:val="000000" w:themeColor="text1"/>
        </w:rPr>
        <w:t>Accelerated Recruitment of Individual Faculty</w:t>
      </w:r>
    </w:p>
    <w:p w14:paraId="568F111E" w14:textId="77777777" w:rsidR="003A7CA2" w:rsidRPr="00D922D9" w:rsidRDefault="003A7CA2" w:rsidP="003A7CA2">
      <w:pPr>
        <w:spacing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 xml:space="preserve">Hiring that furthers the university’s goals of diversity, equity, and inclusive excellence will be supported with 50% salary or the equivalent amount over three years, to be used for salary and benefits support, discretionary funds for the faculty as a top off to the start-up, or funds to provide protected time for scholarly activities. Note in addition that: </w:t>
      </w:r>
    </w:p>
    <w:p w14:paraId="499099E5" w14:textId="77777777" w:rsidR="003A7CA2" w:rsidRPr="00D922D9" w:rsidRDefault="003A7CA2" w:rsidP="003A7CA2">
      <w:pPr>
        <w:pStyle w:val="ListParagraph"/>
        <w:numPr>
          <w:ilvl w:val="0"/>
          <w:numId w:val="4"/>
        </w:numPr>
        <w:rPr>
          <w:rFonts w:ascii="Calibri" w:eastAsia="Times New Roman" w:hAnsi="Calibri" w:cs="Calibri"/>
          <w:color w:val="000000" w:themeColor="text1"/>
        </w:rPr>
      </w:pPr>
      <w:r w:rsidRPr="00D922D9">
        <w:rPr>
          <w:rFonts w:ascii="Calibri" w:hAnsi="Calibri" w:cs="Calibri"/>
          <w:color w:val="000000" w:themeColor="text1"/>
        </w:rPr>
        <w:t xml:space="preserve">Faculty may be supported either through the Accelerated Recruitment program or the Strategic Cluster Hiring program, but not both. </w:t>
      </w:r>
      <w:r w:rsidRPr="00D922D9">
        <w:rPr>
          <w:rFonts w:ascii="Calibri" w:hAnsi="Calibri" w:cs="Calibri"/>
          <w:color w:val="000000" w:themeColor="text1"/>
        </w:rPr>
        <w:br/>
      </w:r>
    </w:p>
    <w:p w14:paraId="4B6CB28B" w14:textId="77777777" w:rsidR="003A7CA2" w:rsidRPr="00D922D9" w:rsidRDefault="003A7CA2" w:rsidP="003A7CA2">
      <w:pPr>
        <w:pStyle w:val="ListParagraph"/>
        <w:numPr>
          <w:ilvl w:val="0"/>
          <w:numId w:val="4"/>
        </w:numPr>
        <w:rPr>
          <w:rFonts w:ascii="Calibri" w:eastAsia="Times New Roman" w:hAnsi="Calibri" w:cs="Calibri"/>
          <w:color w:val="000000" w:themeColor="text1"/>
        </w:rPr>
      </w:pPr>
      <w:r w:rsidRPr="00D922D9">
        <w:rPr>
          <w:rFonts w:ascii="Calibri" w:hAnsi="Calibri" w:cs="Calibri"/>
          <w:color w:val="000000" w:themeColor="text1"/>
        </w:rPr>
        <w:t xml:space="preserve">Funding support is allocated according to fiscal year, beginning in the year following hire. </w:t>
      </w:r>
      <w:proofErr w:type="gramStart"/>
      <w:r w:rsidRPr="00D922D9">
        <w:rPr>
          <w:rFonts w:ascii="Calibri" w:hAnsi="Calibri" w:cs="Calibri"/>
          <w:color w:val="000000" w:themeColor="text1"/>
        </w:rPr>
        <w:t>I.e.</w:t>
      </w:r>
      <w:proofErr w:type="gramEnd"/>
      <w:r w:rsidRPr="00D922D9">
        <w:rPr>
          <w:rFonts w:ascii="Calibri" w:hAnsi="Calibri" w:cs="Calibri"/>
          <w:color w:val="000000" w:themeColor="text1"/>
        </w:rPr>
        <w:t xml:space="preserve"> hires made in AY21-22 (FY22) will be supported with program funds as of July 1, 2022 (FY23) and forward for three years total. Appointments that begin mid-year (</w:t>
      </w:r>
      <w:proofErr w:type="gramStart"/>
      <w:r w:rsidRPr="00D922D9">
        <w:rPr>
          <w:rFonts w:ascii="Calibri" w:hAnsi="Calibri" w:cs="Calibri"/>
          <w:color w:val="000000" w:themeColor="text1"/>
        </w:rPr>
        <w:t>i.e.</w:t>
      </w:r>
      <w:proofErr w:type="gramEnd"/>
      <w:r w:rsidRPr="00D922D9">
        <w:rPr>
          <w:rFonts w:ascii="Calibri" w:hAnsi="Calibri" w:cs="Calibri"/>
          <w:color w:val="000000" w:themeColor="text1"/>
        </w:rPr>
        <w:t xml:space="preserve"> February 1) will only be supported with program funds as of July 1.</w:t>
      </w:r>
      <w:r w:rsidRPr="00D922D9">
        <w:rPr>
          <w:rFonts w:ascii="Calibri" w:hAnsi="Calibri" w:cs="Calibri"/>
          <w:color w:val="000000" w:themeColor="text1"/>
        </w:rPr>
        <w:br/>
      </w:r>
    </w:p>
    <w:p w14:paraId="2628C6B2" w14:textId="204C4DA4" w:rsidR="003A7CA2" w:rsidRPr="003A7CA2" w:rsidRDefault="003A7CA2" w:rsidP="003A7CA2">
      <w:pPr>
        <w:rPr>
          <w:rFonts w:ascii="Calibri" w:eastAsia="Times New Roman" w:hAnsi="Calibri" w:cs="Calibri"/>
          <w:color w:val="000000" w:themeColor="text1"/>
        </w:rPr>
      </w:pPr>
      <w:r w:rsidRPr="00D922D9">
        <w:rPr>
          <w:rFonts w:ascii="Calibri" w:eastAsia="Times New Roman" w:hAnsi="Calibri" w:cs="Calibri"/>
          <w:b/>
          <w:bCs/>
          <w:color w:val="000000" w:themeColor="text1"/>
        </w:rPr>
        <w:t>Deadlines</w:t>
      </w:r>
      <w:r w:rsidRPr="00D922D9">
        <w:rPr>
          <w:rFonts w:ascii="Calibri" w:eastAsia="Times New Roman" w:hAnsi="Calibri" w:cs="Calibri"/>
          <w:color w:val="000000" w:themeColor="text1"/>
        </w:rPr>
        <w:t xml:space="preserve">: Campus Provosts and/or Chancellor's Office will approve all requests for funds on a rolling basis and may set local deadlines and process requirements. </w:t>
      </w:r>
      <w:r>
        <w:rPr>
          <w:rFonts w:ascii="Calibri" w:eastAsia="Times New Roman" w:hAnsi="Calibri" w:cs="Calibri"/>
          <w:color w:val="000000" w:themeColor="text1"/>
        </w:rPr>
        <w:br/>
      </w:r>
    </w:p>
    <w:p w14:paraId="3C72C6D6" w14:textId="3055A01F" w:rsidR="003A7CA2" w:rsidRPr="00D922D9" w:rsidRDefault="003A7CA2" w:rsidP="003A7CA2">
      <w:pPr>
        <w:spacing w:after="100" w:afterAutospacing="1"/>
        <w:rPr>
          <w:rFonts w:ascii="Calibri" w:eastAsia="Times New Roman" w:hAnsi="Calibri" w:cs="Calibri"/>
          <w:color w:val="000000" w:themeColor="text1"/>
        </w:rPr>
      </w:pPr>
      <w:r w:rsidRPr="00D922D9">
        <w:rPr>
          <w:rFonts w:ascii="Calibri" w:eastAsia="Times New Roman" w:hAnsi="Calibri" w:cs="Calibri"/>
          <w:b/>
          <w:bCs/>
          <w:color w:val="000000" w:themeColor="text1"/>
        </w:rPr>
        <w:t>Materials</w:t>
      </w:r>
      <w:r w:rsidRPr="00D922D9">
        <w:rPr>
          <w:rFonts w:ascii="Calibri" w:eastAsia="Times New Roman" w:hAnsi="Calibri" w:cs="Calibri"/>
          <w:color w:val="000000" w:themeColor="text1"/>
        </w:rPr>
        <w:t xml:space="preserve">: Deans requesting </w:t>
      </w:r>
      <w:r w:rsidR="00384780">
        <w:rPr>
          <w:rFonts w:ascii="Calibri" w:hAnsi="Calibri" w:cs="Calibri"/>
          <w:color w:val="000000" w:themeColor="text1"/>
        </w:rPr>
        <w:t xml:space="preserve">salary support </w:t>
      </w:r>
      <w:r w:rsidRPr="00D922D9">
        <w:rPr>
          <w:rFonts w:ascii="Calibri" w:hAnsi="Calibri" w:cs="Calibri"/>
          <w:color w:val="000000" w:themeColor="text1"/>
        </w:rPr>
        <w:t>from the program should consult with their campus Provost and/or Chancellor's Office in advance of making an offer. Provosts and/or Chancellor's Offices will stipulate required supporting materials for funding requests. At a minimum, these materials should include:</w:t>
      </w:r>
    </w:p>
    <w:p w14:paraId="1A42D743"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Name and CV of candidate</w:t>
      </w:r>
    </w:p>
    <w:p w14:paraId="1148DED0"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Hiring department and school</w:t>
      </w:r>
    </w:p>
    <w:p w14:paraId="33989141"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Brief description of the process that has brought the candidate forward, with relevant position description</w:t>
      </w:r>
    </w:p>
    <w:p w14:paraId="7F092D39" w14:textId="77777777" w:rsidR="003A7CA2" w:rsidRPr="00D922D9" w:rsidRDefault="003A7CA2" w:rsidP="003A7CA2">
      <w:pPr>
        <w:numPr>
          <w:ilvl w:val="0"/>
          <w:numId w:val="5"/>
        </w:numPr>
        <w:spacing w:before="100" w:beforeAutospacing="1"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Brief description of the candidate’s field of expertise, accomplishments, and how their research, teaching, and/or professional service in the past, present, and/or future could contribute to advancing the university’s goals of diversity, equity, and inclusion.</w:t>
      </w:r>
    </w:p>
    <w:p w14:paraId="53090526" w14:textId="1CFEC24D" w:rsidR="00A22136" w:rsidRPr="003A7CA2" w:rsidRDefault="003A7CA2" w:rsidP="003A7CA2">
      <w:pPr>
        <w:spacing w:after="100" w:afterAutospacing="1"/>
        <w:rPr>
          <w:rFonts w:ascii="Calibri" w:eastAsia="Times New Roman" w:hAnsi="Calibri" w:cs="Calibri"/>
          <w:color w:val="000000" w:themeColor="text1"/>
        </w:rPr>
      </w:pPr>
      <w:r w:rsidRPr="00D922D9">
        <w:rPr>
          <w:rFonts w:ascii="Calibri" w:eastAsia="Times New Roman" w:hAnsi="Calibri" w:cs="Calibri"/>
          <w:color w:val="000000" w:themeColor="text1"/>
        </w:rPr>
        <w:t>In cases where a hiring request arises through an accelerated or time-sensitive recruitment, deans should notify their provost as soon as possible and follow the appropriate procedures in ROCS. At the end of the annual hiring cycle, provosts will be asked to submit a report outlining how the funds were deployed, with an explanation of how all new hires will be supported by existing campus and university-wide mentoring and advancement programs.</w:t>
      </w:r>
    </w:p>
    <w:sectPr w:rsidR="00A22136" w:rsidRPr="003A7CA2" w:rsidSect="00D66754">
      <w:headerReference w:type="default" r:id="rId7"/>
      <w:footerReference w:type="even" r:id="rId8"/>
      <w:footerReference w:type="default" r:id="rId9"/>
      <w:pgSz w:w="12240" w:h="15840"/>
      <w:pgMar w:top="20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0234" w14:textId="77777777" w:rsidR="00530886" w:rsidRDefault="00530886">
      <w:r>
        <w:separator/>
      </w:r>
    </w:p>
  </w:endnote>
  <w:endnote w:type="continuationSeparator" w:id="0">
    <w:p w14:paraId="48313CF1" w14:textId="77777777" w:rsidR="00530886" w:rsidRDefault="005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487803"/>
      <w:docPartObj>
        <w:docPartGallery w:val="Page Numbers (Bottom of Page)"/>
        <w:docPartUnique/>
      </w:docPartObj>
    </w:sdtPr>
    <w:sdtEndPr>
      <w:rPr>
        <w:rStyle w:val="PageNumber"/>
      </w:rPr>
    </w:sdtEndPr>
    <w:sdtContent>
      <w:p w14:paraId="7969EDA2" w14:textId="58E38674" w:rsidR="002B5B0D" w:rsidRDefault="002B5B0D" w:rsidP="00CF5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319F7" w14:textId="77777777" w:rsidR="005A337D" w:rsidRDefault="005A337D" w:rsidP="002B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417795"/>
      <w:docPartObj>
        <w:docPartGallery w:val="Page Numbers (Bottom of Page)"/>
        <w:docPartUnique/>
      </w:docPartObj>
    </w:sdtPr>
    <w:sdtEndPr>
      <w:rPr>
        <w:rStyle w:val="PageNumber"/>
      </w:rPr>
    </w:sdtEndPr>
    <w:sdtContent>
      <w:p w14:paraId="41D48803" w14:textId="3853D046" w:rsidR="002B5B0D" w:rsidRDefault="002B5B0D" w:rsidP="00CF5FC5">
        <w:pPr>
          <w:pStyle w:val="Footer"/>
          <w:framePr w:wrap="none" w:vAnchor="text" w:hAnchor="margin" w:xAlign="right" w:y="1"/>
          <w:rPr>
            <w:rStyle w:val="PageNumber"/>
          </w:rPr>
        </w:pPr>
        <w:r w:rsidRPr="002B5B0D">
          <w:rPr>
            <w:rStyle w:val="PageNumber"/>
            <w:sz w:val="20"/>
            <w:szCs w:val="20"/>
          </w:rPr>
          <w:fldChar w:fldCharType="begin"/>
        </w:r>
        <w:r w:rsidRPr="002B5B0D">
          <w:rPr>
            <w:rStyle w:val="PageNumber"/>
            <w:sz w:val="20"/>
            <w:szCs w:val="20"/>
          </w:rPr>
          <w:instrText xml:space="preserve"> PAGE </w:instrText>
        </w:r>
        <w:r w:rsidRPr="002B5B0D">
          <w:rPr>
            <w:rStyle w:val="PageNumber"/>
            <w:sz w:val="20"/>
            <w:szCs w:val="20"/>
          </w:rPr>
          <w:fldChar w:fldCharType="separate"/>
        </w:r>
        <w:r w:rsidRPr="002B5B0D">
          <w:rPr>
            <w:rStyle w:val="PageNumber"/>
            <w:noProof/>
            <w:sz w:val="20"/>
            <w:szCs w:val="20"/>
          </w:rPr>
          <w:t>1</w:t>
        </w:r>
        <w:r w:rsidRPr="002B5B0D">
          <w:rPr>
            <w:rStyle w:val="PageNumber"/>
            <w:sz w:val="20"/>
            <w:szCs w:val="20"/>
          </w:rPr>
          <w:fldChar w:fldCharType="end"/>
        </w:r>
      </w:p>
    </w:sdtContent>
  </w:sdt>
  <w:p w14:paraId="614669D8" w14:textId="2729245C" w:rsidR="005A337D" w:rsidRPr="002B5B0D" w:rsidRDefault="002B5B0D" w:rsidP="002B5B0D">
    <w:pPr>
      <w:pStyle w:val="Footer"/>
      <w:ind w:right="360"/>
      <w:rPr>
        <w:sz w:val="20"/>
        <w:szCs w:val="20"/>
      </w:rPr>
    </w:pPr>
    <w:r w:rsidRPr="002B5B0D">
      <w:rPr>
        <w:sz w:val="20"/>
        <w:szCs w:val="20"/>
      </w:rPr>
      <w:t>26 March 2022</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1CD1" w14:textId="77777777" w:rsidR="00530886" w:rsidRDefault="00530886">
      <w:r>
        <w:separator/>
      </w:r>
    </w:p>
  </w:footnote>
  <w:footnote w:type="continuationSeparator" w:id="0">
    <w:p w14:paraId="298AD639" w14:textId="77777777" w:rsidR="00530886" w:rsidRDefault="0053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FF2" w14:textId="298687E9" w:rsidR="006B11B0" w:rsidRDefault="001A07B7" w:rsidP="005A337D">
    <w:pPr>
      <w:pStyle w:val="Header"/>
      <w:spacing w:after="120"/>
    </w:pPr>
    <w:r w:rsidRPr="00BB1806">
      <w:rPr>
        <w:rFonts w:ascii="Palatino Linotype" w:hAnsi="Palatino Linotype"/>
        <w:b/>
        <w:bCs/>
        <w:noProof/>
        <w:color w:val="000000"/>
      </w:rPr>
      <w:drawing>
        <wp:inline distT="0" distB="0" distL="0" distR="0" wp14:anchorId="41EBA9E5" wp14:editId="08E19B46">
          <wp:extent cx="2364238" cy="6519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517" cy="666073"/>
                  </a:xfrm>
                  <a:prstGeom prst="rect">
                    <a:avLst/>
                  </a:prstGeom>
                </pic:spPr>
              </pic:pic>
            </a:graphicData>
          </a:graphic>
        </wp:inline>
      </w:drawing>
    </w:r>
    <w:r>
      <w:t xml:space="preserve">                              </w:t>
    </w:r>
    <w:r>
      <w:rPr>
        <w:noProof/>
      </w:rPr>
      <w:drawing>
        <wp:inline distT="0" distB="0" distL="0" distR="0" wp14:anchorId="520E812E" wp14:editId="117E96C2">
          <wp:extent cx="2514600" cy="6158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3244" cy="622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CD"/>
    <w:multiLevelType w:val="hybridMultilevel"/>
    <w:tmpl w:val="ABD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1A0E"/>
    <w:multiLevelType w:val="hybridMultilevel"/>
    <w:tmpl w:val="5D5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71E"/>
    <w:multiLevelType w:val="hybridMultilevel"/>
    <w:tmpl w:val="F4D8AEBE"/>
    <w:lvl w:ilvl="0" w:tplc="3A0C51A6">
      <w:start w:val="1"/>
      <w:numFmt w:val="bullet"/>
      <w:lvlText w:val="•"/>
      <w:lvlJc w:val="left"/>
      <w:pPr>
        <w:tabs>
          <w:tab w:val="num" w:pos="720"/>
        </w:tabs>
        <w:ind w:left="720" w:hanging="360"/>
      </w:pPr>
      <w:rPr>
        <w:rFonts w:ascii="Arial" w:hAnsi="Arial" w:hint="default"/>
      </w:rPr>
    </w:lvl>
    <w:lvl w:ilvl="1" w:tplc="B6986F04" w:tentative="1">
      <w:start w:val="1"/>
      <w:numFmt w:val="bullet"/>
      <w:lvlText w:val="•"/>
      <w:lvlJc w:val="left"/>
      <w:pPr>
        <w:tabs>
          <w:tab w:val="num" w:pos="1440"/>
        </w:tabs>
        <w:ind w:left="1440" w:hanging="360"/>
      </w:pPr>
      <w:rPr>
        <w:rFonts w:ascii="Arial" w:hAnsi="Arial" w:hint="default"/>
      </w:rPr>
    </w:lvl>
    <w:lvl w:ilvl="2" w:tplc="5CC20840" w:tentative="1">
      <w:start w:val="1"/>
      <w:numFmt w:val="bullet"/>
      <w:lvlText w:val="•"/>
      <w:lvlJc w:val="left"/>
      <w:pPr>
        <w:tabs>
          <w:tab w:val="num" w:pos="2160"/>
        </w:tabs>
        <w:ind w:left="2160" w:hanging="360"/>
      </w:pPr>
      <w:rPr>
        <w:rFonts w:ascii="Arial" w:hAnsi="Arial" w:hint="default"/>
      </w:rPr>
    </w:lvl>
    <w:lvl w:ilvl="3" w:tplc="E0BADD66" w:tentative="1">
      <w:start w:val="1"/>
      <w:numFmt w:val="bullet"/>
      <w:lvlText w:val="•"/>
      <w:lvlJc w:val="left"/>
      <w:pPr>
        <w:tabs>
          <w:tab w:val="num" w:pos="2880"/>
        </w:tabs>
        <w:ind w:left="2880" w:hanging="360"/>
      </w:pPr>
      <w:rPr>
        <w:rFonts w:ascii="Arial" w:hAnsi="Arial" w:hint="default"/>
      </w:rPr>
    </w:lvl>
    <w:lvl w:ilvl="4" w:tplc="52829514" w:tentative="1">
      <w:start w:val="1"/>
      <w:numFmt w:val="bullet"/>
      <w:lvlText w:val="•"/>
      <w:lvlJc w:val="left"/>
      <w:pPr>
        <w:tabs>
          <w:tab w:val="num" w:pos="3600"/>
        </w:tabs>
        <w:ind w:left="3600" w:hanging="360"/>
      </w:pPr>
      <w:rPr>
        <w:rFonts w:ascii="Arial" w:hAnsi="Arial" w:hint="default"/>
      </w:rPr>
    </w:lvl>
    <w:lvl w:ilvl="5" w:tplc="C0724C6A" w:tentative="1">
      <w:start w:val="1"/>
      <w:numFmt w:val="bullet"/>
      <w:lvlText w:val="•"/>
      <w:lvlJc w:val="left"/>
      <w:pPr>
        <w:tabs>
          <w:tab w:val="num" w:pos="4320"/>
        </w:tabs>
        <w:ind w:left="4320" w:hanging="360"/>
      </w:pPr>
      <w:rPr>
        <w:rFonts w:ascii="Arial" w:hAnsi="Arial" w:hint="default"/>
      </w:rPr>
    </w:lvl>
    <w:lvl w:ilvl="6" w:tplc="EB56018E" w:tentative="1">
      <w:start w:val="1"/>
      <w:numFmt w:val="bullet"/>
      <w:lvlText w:val="•"/>
      <w:lvlJc w:val="left"/>
      <w:pPr>
        <w:tabs>
          <w:tab w:val="num" w:pos="5040"/>
        </w:tabs>
        <w:ind w:left="5040" w:hanging="360"/>
      </w:pPr>
      <w:rPr>
        <w:rFonts w:ascii="Arial" w:hAnsi="Arial" w:hint="default"/>
      </w:rPr>
    </w:lvl>
    <w:lvl w:ilvl="7" w:tplc="185E2FF8" w:tentative="1">
      <w:start w:val="1"/>
      <w:numFmt w:val="bullet"/>
      <w:lvlText w:val="•"/>
      <w:lvlJc w:val="left"/>
      <w:pPr>
        <w:tabs>
          <w:tab w:val="num" w:pos="5760"/>
        </w:tabs>
        <w:ind w:left="5760" w:hanging="360"/>
      </w:pPr>
      <w:rPr>
        <w:rFonts w:ascii="Arial" w:hAnsi="Arial" w:hint="default"/>
      </w:rPr>
    </w:lvl>
    <w:lvl w:ilvl="8" w:tplc="919817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163AF"/>
    <w:multiLevelType w:val="multilevel"/>
    <w:tmpl w:val="02C4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27E12"/>
    <w:multiLevelType w:val="hybridMultilevel"/>
    <w:tmpl w:val="8E385C0C"/>
    <w:lvl w:ilvl="0" w:tplc="C1D6CB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37518">
    <w:abstractNumId w:val="2"/>
  </w:num>
  <w:num w:numId="2" w16cid:durableId="520634328">
    <w:abstractNumId w:val="4"/>
  </w:num>
  <w:num w:numId="3" w16cid:durableId="1814906969">
    <w:abstractNumId w:val="0"/>
  </w:num>
  <w:num w:numId="4" w16cid:durableId="1186597339">
    <w:abstractNumId w:val="1"/>
  </w:num>
  <w:num w:numId="5" w16cid:durableId="1352029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E"/>
    <w:rsid w:val="000D4814"/>
    <w:rsid w:val="00186ACE"/>
    <w:rsid w:val="001A07B7"/>
    <w:rsid w:val="001D433E"/>
    <w:rsid w:val="001F2105"/>
    <w:rsid w:val="001F3472"/>
    <w:rsid w:val="00211AAB"/>
    <w:rsid w:val="002A3E50"/>
    <w:rsid w:val="002A72C5"/>
    <w:rsid w:val="002B5B0D"/>
    <w:rsid w:val="00301FB0"/>
    <w:rsid w:val="00384780"/>
    <w:rsid w:val="003A7CA2"/>
    <w:rsid w:val="003B61CD"/>
    <w:rsid w:val="00435B06"/>
    <w:rsid w:val="00491F0C"/>
    <w:rsid w:val="004C37A1"/>
    <w:rsid w:val="004D35B3"/>
    <w:rsid w:val="00530886"/>
    <w:rsid w:val="005411E7"/>
    <w:rsid w:val="0056361A"/>
    <w:rsid w:val="005A337D"/>
    <w:rsid w:val="0063160A"/>
    <w:rsid w:val="00690145"/>
    <w:rsid w:val="006F0840"/>
    <w:rsid w:val="007072AC"/>
    <w:rsid w:val="007372E5"/>
    <w:rsid w:val="00774C57"/>
    <w:rsid w:val="007F3E28"/>
    <w:rsid w:val="00885D13"/>
    <w:rsid w:val="0089504A"/>
    <w:rsid w:val="008C219A"/>
    <w:rsid w:val="00A22136"/>
    <w:rsid w:val="00A97A89"/>
    <w:rsid w:val="00AA264E"/>
    <w:rsid w:val="00B2312F"/>
    <w:rsid w:val="00BB3ABE"/>
    <w:rsid w:val="00C52CCD"/>
    <w:rsid w:val="00C80E19"/>
    <w:rsid w:val="00C85D26"/>
    <w:rsid w:val="00C90181"/>
    <w:rsid w:val="00C91278"/>
    <w:rsid w:val="00C94879"/>
    <w:rsid w:val="00CA5951"/>
    <w:rsid w:val="00CD1B71"/>
    <w:rsid w:val="00D06C24"/>
    <w:rsid w:val="00D103A6"/>
    <w:rsid w:val="00D66754"/>
    <w:rsid w:val="00E85550"/>
    <w:rsid w:val="00EE1A65"/>
    <w:rsid w:val="00F02538"/>
    <w:rsid w:val="00F51A45"/>
    <w:rsid w:val="00F72D94"/>
    <w:rsid w:val="00F91AF6"/>
    <w:rsid w:val="00F9339F"/>
    <w:rsid w:val="00FA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7DA96"/>
  <w15:chartTrackingRefBased/>
  <w15:docId w15:val="{A5B16392-7504-594B-9B19-D4FA8380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3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D433E"/>
    <w:pPr>
      <w:tabs>
        <w:tab w:val="center" w:pos="4680"/>
        <w:tab w:val="right" w:pos="9360"/>
      </w:tabs>
    </w:pPr>
  </w:style>
  <w:style w:type="character" w:customStyle="1" w:styleId="HeaderChar">
    <w:name w:val="Header Char"/>
    <w:basedOn w:val="DefaultParagraphFont"/>
    <w:link w:val="Header"/>
    <w:rsid w:val="001D433E"/>
  </w:style>
  <w:style w:type="paragraph" w:styleId="Footer">
    <w:name w:val="footer"/>
    <w:basedOn w:val="Normal"/>
    <w:link w:val="FooterChar"/>
    <w:uiPriority w:val="99"/>
    <w:unhideWhenUsed/>
    <w:rsid w:val="001D433E"/>
    <w:pPr>
      <w:tabs>
        <w:tab w:val="center" w:pos="4680"/>
        <w:tab w:val="right" w:pos="9360"/>
      </w:tabs>
    </w:pPr>
  </w:style>
  <w:style w:type="character" w:customStyle="1" w:styleId="FooterChar">
    <w:name w:val="Footer Char"/>
    <w:basedOn w:val="DefaultParagraphFont"/>
    <w:link w:val="Footer"/>
    <w:uiPriority w:val="99"/>
    <w:rsid w:val="001D433E"/>
  </w:style>
  <w:style w:type="paragraph" w:styleId="ListParagraph">
    <w:name w:val="List Paragraph"/>
    <w:basedOn w:val="Normal"/>
    <w:uiPriority w:val="34"/>
    <w:qFormat/>
    <w:rsid w:val="001D433E"/>
    <w:pPr>
      <w:ind w:left="720"/>
      <w:contextualSpacing/>
    </w:pPr>
  </w:style>
  <w:style w:type="character" w:styleId="Hyperlink">
    <w:name w:val="Hyperlink"/>
    <w:basedOn w:val="DefaultParagraphFont"/>
    <w:uiPriority w:val="99"/>
    <w:unhideWhenUsed/>
    <w:rsid w:val="001D433E"/>
    <w:rPr>
      <w:color w:val="0563C1" w:themeColor="hyperlink"/>
      <w:u w:val="single"/>
    </w:rPr>
  </w:style>
  <w:style w:type="character" w:styleId="PageNumber">
    <w:name w:val="page number"/>
    <w:basedOn w:val="DefaultParagraphFont"/>
    <w:uiPriority w:val="99"/>
    <w:semiHidden/>
    <w:unhideWhenUsed/>
    <w:rsid w:val="002B5B0D"/>
  </w:style>
  <w:style w:type="character" w:styleId="UnresolvedMention">
    <w:name w:val="Unresolved Mention"/>
    <w:basedOn w:val="DefaultParagraphFont"/>
    <w:uiPriority w:val="99"/>
    <w:semiHidden/>
    <w:unhideWhenUsed/>
    <w:rsid w:val="0018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Turner</dc:creator>
  <cp:keywords/>
  <dc:description/>
  <cp:lastModifiedBy>Henry Turner</cp:lastModifiedBy>
  <cp:revision>26</cp:revision>
  <dcterms:created xsi:type="dcterms:W3CDTF">2022-03-24T15:51:00Z</dcterms:created>
  <dcterms:modified xsi:type="dcterms:W3CDTF">2022-03-30T23:03:00Z</dcterms:modified>
</cp:coreProperties>
</file>